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7E7CE" w14:textId="77777777" w:rsidR="009D25C1" w:rsidRPr="00A532E2" w:rsidRDefault="009D25C1" w:rsidP="004C1B68">
      <w:pPr>
        <w:spacing w:line="276" w:lineRule="auto"/>
        <w:jc w:val="both"/>
        <w:rPr>
          <w:rFonts w:ascii="Palatino Linotype" w:hAnsi="Palatino Linotype" w:cs="Times New Roman"/>
          <w:b/>
          <w:bCs/>
        </w:rPr>
      </w:pPr>
    </w:p>
    <w:p w14:paraId="31F4A480" w14:textId="77777777" w:rsidR="00FA379A" w:rsidRPr="00A532E2" w:rsidRDefault="00FA379A" w:rsidP="004C1B68">
      <w:pPr>
        <w:spacing w:line="276" w:lineRule="auto"/>
        <w:jc w:val="both"/>
        <w:rPr>
          <w:rFonts w:ascii="Palatino Linotype" w:hAnsi="Palatino Linotype" w:cs="Times New Roman"/>
          <w:b/>
          <w:bCs/>
        </w:rPr>
      </w:pPr>
      <w:r w:rsidRPr="00A532E2">
        <w:rPr>
          <w:rFonts w:ascii="Palatino Linotype" w:hAnsi="Palatino Linotype" w:cs="Times New Roman"/>
          <w:b/>
          <w:bCs/>
        </w:rPr>
        <w:t>Propozycja zmian przygotowanym przez Ministerstwo Sprawiedliwości projekcie ustawy o zmianie ustawy o szczególnych rozwiązaniach związanych z zapobieganiem, przeciwdziałaniem i zwalczaniem COVID-19, innych chorób zakaźnych oraz wywołanych nimi sytuacji kryzysowych oraz niektórych innych ustaw (projekt z dnia 20 marca 2020 r.).</w:t>
      </w:r>
    </w:p>
    <w:p w14:paraId="1157941A" w14:textId="77777777" w:rsidR="00FA379A" w:rsidRPr="00A532E2" w:rsidRDefault="00FA379A" w:rsidP="004C1B68">
      <w:pPr>
        <w:spacing w:line="276" w:lineRule="auto"/>
        <w:jc w:val="both"/>
        <w:rPr>
          <w:rFonts w:ascii="Palatino Linotype" w:hAnsi="Palatino Linotype" w:cs="Times New Roman"/>
        </w:rPr>
      </w:pPr>
    </w:p>
    <w:p w14:paraId="67D95580" w14:textId="77777777" w:rsidR="00FA379A" w:rsidRPr="00A532E2" w:rsidRDefault="00FA379A" w:rsidP="004C1B68">
      <w:pPr>
        <w:spacing w:line="276" w:lineRule="auto"/>
        <w:jc w:val="both"/>
        <w:rPr>
          <w:rFonts w:ascii="Palatino Linotype" w:hAnsi="Palatino Linotype" w:cs="Times New Roman"/>
        </w:rPr>
      </w:pPr>
      <w:r w:rsidRPr="00A532E2">
        <w:rPr>
          <w:rFonts w:ascii="Palatino Linotype" w:hAnsi="Palatino Linotype" w:cs="Times New Roman"/>
        </w:rPr>
        <w:t>W art. 1 pkt 2 ustawy:</w:t>
      </w:r>
    </w:p>
    <w:p w14:paraId="17B20836" w14:textId="27D48F8A" w:rsidR="003626CE" w:rsidRPr="00A532E2" w:rsidRDefault="00FA379A" w:rsidP="004C1B68">
      <w:pPr>
        <w:spacing w:line="276" w:lineRule="auto"/>
        <w:jc w:val="both"/>
        <w:rPr>
          <w:rFonts w:ascii="Palatino Linotype" w:eastAsia="Times New Roman" w:hAnsi="Palatino Linotype" w:cs="Times New Roman"/>
          <w:lang w:eastAsia="pl-PL"/>
        </w:rPr>
      </w:pPr>
      <w:r w:rsidRPr="00A532E2">
        <w:rPr>
          <w:rFonts w:ascii="Palatino Linotype" w:hAnsi="Palatino Linotype" w:cs="Times New Roman"/>
          <w:b/>
          <w:bCs/>
        </w:rPr>
        <w:t xml:space="preserve">proponuje się nadanie treści </w:t>
      </w:r>
      <w:r w:rsidR="00A532E2">
        <w:rPr>
          <w:rFonts w:ascii="Palatino Linotype" w:hAnsi="Palatino Linotype" w:cs="Times New Roman"/>
          <w:b/>
          <w:bCs/>
        </w:rPr>
        <w:t>a</w:t>
      </w:r>
      <w:r w:rsidRPr="00A532E2">
        <w:rPr>
          <w:rFonts w:ascii="Palatino Linotype" w:hAnsi="Palatino Linotype" w:cs="Times New Roman"/>
          <w:b/>
          <w:bCs/>
        </w:rPr>
        <w:t xml:space="preserve">rt. 15b. </w:t>
      </w:r>
      <w:r w:rsidR="003626CE" w:rsidRPr="00A532E2">
        <w:rPr>
          <w:rFonts w:ascii="Palatino Linotype" w:hAnsi="Palatino Linotype" w:cs="Times New Roman"/>
          <w:b/>
          <w:bCs/>
        </w:rPr>
        <w:t>3</w:t>
      </w:r>
      <w:r w:rsidRPr="00A532E2">
        <w:rPr>
          <w:rFonts w:ascii="Palatino Linotype" w:hAnsi="Palatino Linotype" w:cs="Times New Roman"/>
          <w:b/>
          <w:bCs/>
        </w:rPr>
        <w:t>.</w:t>
      </w:r>
      <w:r w:rsidR="003626CE" w:rsidRPr="00A532E2">
        <w:rPr>
          <w:rFonts w:ascii="Palatino Linotype" w:hAnsi="Palatino Linotype" w:cs="Times New Roman"/>
        </w:rPr>
        <w:t>: „</w:t>
      </w:r>
      <w:r w:rsidR="003626CE" w:rsidRPr="00A532E2">
        <w:rPr>
          <w:rFonts w:ascii="Palatino Linotype" w:eastAsia="Times New Roman" w:hAnsi="Palatino Linotype" w:cs="Times New Roman"/>
          <w:lang w:eastAsia="pl-PL"/>
        </w:rPr>
        <w:t>Właściwy organ, sąd lub podmiot może wezwać obowiązanego do dokonania czynności wynikających z przepisów prawa, w oznaczonym terminie i w zakresie, w jakim przepis ten zobowiązuje do dokonania czynności, jeżeli niepodjęcie czynności mogłoby spowodować niebezpieczeństwo dla życia lub zdrowia ludzi lub zwierząt, poważną szkodę dla interesu społecznego albo ze względu na grożącą niepowetowaną szkodę materialną, a także jeżeli jest to szczególnie uzasadnione charakterem sprawy oraz w sprawach rozpoznawanych w postępowaniu gospodarczym prowadzonym na podstawie art. 458(1)-458(13) Kodeksu postępowania cywilnego. W takim przypadku obowiązany powinien wykonać obowiązek w oznaczonym terminie.”.</w:t>
      </w:r>
    </w:p>
    <w:p w14:paraId="23F1CAFF" w14:textId="5104A09E" w:rsidR="003626CE" w:rsidRPr="00A532E2" w:rsidRDefault="003626CE" w:rsidP="004C1B68">
      <w:pPr>
        <w:spacing w:line="276" w:lineRule="auto"/>
        <w:jc w:val="both"/>
        <w:rPr>
          <w:rFonts w:ascii="Palatino Linotype" w:eastAsia="Times New Roman" w:hAnsi="Palatino Linotype" w:cs="Times New Roman"/>
          <w:lang w:eastAsia="pl-PL"/>
        </w:rPr>
      </w:pPr>
      <w:r w:rsidRPr="00A532E2">
        <w:rPr>
          <w:rFonts w:ascii="Palatino Linotype" w:hAnsi="Palatino Linotype" w:cs="Times New Roman"/>
          <w:b/>
          <w:bCs/>
        </w:rPr>
        <w:t xml:space="preserve">proponuje się nadanie treści </w:t>
      </w:r>
      <w:r w:rsidR="00A532E2">
        <w:rPr>
          <w:rFonts w:ascii="Palatino Linotype" w:hAnsi="Palatino Linotype" w:cs="Times New Roman"/>
          <w:b/>
          <w:bCs/>
        </w:rPr>
        <w:t>a</w:t>
      </w:r>
      <w:r w:rsidRPr="00A532E2">
        <w:rPr>
          <w:rFonts w:ascii="Palatino Linotype" w:hAnsi="Palatino Linotype" w:cs="Times New Roman"/>
          <w:b/>
          <w:bCs/>
        </w:rPr>
        <w:t>rt. 15b. ust. 4.</w:t>
      </w:r>
      <w:r w:rsidRPr="00A532E2">
        <w:rPr>
          <w:rFonts w:ascii="Palatino Linotype" w:hAnsi="Palatino Linotype" w:cs="Times New Roman"/>
        </w:rPr>
        <w:t xml:space="preserve">: </w:t>
      </w:r>
      <w:r w:rsidRPr="00A532E2">
        <w:rPr>
          <w:rFonts w:ascii="Palatino Linotype" w:eastAsia="Times New Roman" w:hAnsi="Palatino Linotype" w:cs="Times New Roman"/>
          <w:lang w:eastAsia="pl-PL"/>
        </w:rPr>
        <w:t>„W okresie stanu zagrożenia epidemicznego lub stanu epidemii ogłoszonego z powodu COVID-19 nie przeprowadza się rozpraw ani posiedzeń jawnych, z wyjątkiem rozpraw i posiedzeń jawnych w sprawach określonych w art. 14a ust. 4 i 5 oraz rozpraw i posiedzeń jawnych przeprowadzanych przy użyciu urządzeń technicznych umożliwiających przeprowadzenie ich na odległość - w takim przypadku uczestnicy postępowania mogą brać udział w posiedzeniu sądowym, gdy nie przebywają w budynku sądu.”.</w:t>
      </w:r>
    </w:p>
    <w:p w14:paraId="0E056824" w14:textId="77777777" w:rsidR="003D7184" w:rsidRPr="00A532E2" w:rsidRDefault="003D7184" w:rsidP="004C1B68">
      <w:pPr>
        <w:spacing w:line="276" w:lineRule="auto"/>
        <w:jc w:val="both"/>
        <w:rPr>
          <w:rFonts w:ascii="Palatino Linotype" w:eastAsia="Times New Roman" w:hAnsi="Palatino Linotype" w:cs="Times New Roman"/>
          <w:lang w:eastAsia="pl-PL"/>
        </w:rPr>
      </w:pPr>
      <w:r w:rsidRPr="00A532E2">
        <w:rPr>
          <w:rFonts w:ascii="Palatino Linotype" w:eastAsia="Times New Roman" w:hAnsi="Palatino Linotype" w:cs="Times New Roman"/>
          <w:b/>
          <w:bCs/>
          <w:lang w:eastAsia="pl-PL"/>
        </w:rPr>
        <w:t>proponuje się nadanie treści art. 15f</w:t>
      </w:r>
      <w:r w:rsidRPr="00A532E2">
        <w:rPr>
          <w:rFonts w:ascii="Palatino Linotype" w:eastAsia="Times New Roman" w:hAnsi="Palatino Linotype" w:cs="Times New Roman"/>
          <w:lang w:eastAsia="pl-PL"/>
        </w:rPr>
        <w:t>:</w:t>
      </w:r>
    </w:p>
    <w:p w14:paraId="0078D5D8" w14:textId="54A7B5B3" w:rsidR="003D7184" w:rsidRPr="00A532E2" w:rsidRDefault="003D7184" w:rsidP="004C1B68">
      <w:pPr>
        <w:spacing w:after="0" w:line="276" w:lineRule="auto"/>
        <w:jc w:val="both"/>
        <w:rPr>
          <w:rFonts w:ascii="Palatino Linotype" w:eastAsia="Times New Roman" w:hAnsi="Palatino Linotype" w:cs="Times New Roman"/>
          <w:lang w:eastAsia="pl-PL"/>
        </w:rPr>
      </w:pPr>
      <w:r w:rsidRPr="00A532E2">
        <w:rPr>
          <w:rFonts w:ascii="Palatino Linotype" w:eastAsia="Times New Roman" w:hAnsi="Palatino Linotype" w:cs="Times New Roman"/>
          <w:lang w:eastAsia="pl-PL"/>
        </w:rPr>
        <w:t xml:space="preserve">„Art. 15f. 1. W czasie trwania stanu zagrożenia epidemicznego lub stanu epidemii albo w przypadku zaprzestania działania operatora pocztowego świadczącego usługi powszechne, można wnieść pismo procesowe do sądu </w:t>
      </w:r>
      <w:r w:rsidR="00A532E2" w:rsidRPr="00A532E2">
        <w:rPr>
          <w:rFonts w:ascii="Palatino Linotype" w:eastAsia="Times New Roman" w:hAnsi="Palatino Linotype" w:cs="Times New Roman"/>
          <w:lang w:eastAsia="pl-PL"/>
        </w:rPr>
        <w:t xml:space="preserve">lub komornika sądowego </w:t>
      </w:r>
      <w:r w:rsidRPr="00A532E2">
        <w:rPr>
          <w:rFonts w:ascii="Palatino Linotype" w:eastAsia="Times New Roman" w:hAnsi="Palatino Linotype" w:cs="Times New Roman"/>
          <w:lang w:eastAsia="pl-PL"/>
        </w:rPr>
        <w:t>przy użyciu platformy e-PUAP lub poczty elektronicznej, podpisem zaufanym albo podpisem osobistym. Pismo powinno być opatrzone kwalifikowanym podpisem elektronicznym. Tak wniesione pismo uznaje się za opatrzone podpisem w sposób równoważny podpisowi własnoręcznemu.</w:t>
      </w:r>
    </w:p>
    <w:p w14:paraId="36B06BC1" w14:textId="77777777" w:rsidR="003D7184" w:rsidRPr="00A532E2" w:rsidRDefault="003D7184" w:rsidP="004C1B68">
      <w:pPr>
        <w:spacing w:after="0" w:line="276" w:lineRule="auto"/>
        <w:jc w:val="both"/>
        <w:rPr>
          <w:rFonts w:ascii="Palatino Linotype" w:eastAsia="Times New Roman" w:hAnsi="Palatino Linotype" w:cs="Times New Roman"/>
          <w:lang w:eastAsia="pl-PL"/>
        </w:rPr>
      </w:pPr>
      <w:r w:rsidRPr="00A532E2">
        <w:rPr>
          <w:rFonts w:ascii="Palatino Linotype" w:eastAsia="Times New Roman" w:hAnsi="Palatino Linotype" w:cs="Times New Roman"/>
          <w:lang w:eastAsia="pl-PL"/>
        </w:rPr>
        <w:t>2. Można pocztą elektroniczną wnieść odwzorowanie cyfrowe pisma opatrzonego odręcznym podpisem. Jeżeli pismo to zostało wysłane z uprzednio wskazanego adresu</w:t>
      </w:r>
      <w:r w:rsidRPr="00A532E2">
        <w:rPr>
          <w:rFonts w:ascii="Palatino Linotype" w:eastAsia="Times New Roman" w:hAnsi="Palatino Linotype" w:cs="Times New Roman"/>
          <w:lang w:eastAsia="pl-PL"/>
        </w:rPr>
        <w:br/>
        <w:t>poczty elektronicznej nadawcy lub nie ma wątpliwości co do osoby nadawcy, pismo uznaje się za opatrzone podpisem w sposób równoważny podpisowi własnoręcznemu.</w:t>
      </w:r>
      <w:r w:rsidRPr="00A532E2">
        <w:rPr>
          <w:rFonts w:ascii="Palatino Linotype" w:eastAsia="Times New Roman" w:hAnsi="Palatino Linotype" w:cs="Times New Roman"/>
          <w:lang w:eastAsia="pl-PL"/>
        </w:rPr>
        <w:br/>
        <w:t>3. W braku pewności co do osoby wnoszącej pismo procesowe w sposób określony w ust. 2 przepis art. 130 ustawy z dnia 17 listopada 1964 r. – Kodeks postępowania cywilnego stosuje się odpowiednio.</w:t>
      </w:r>
    </w:p>
    <w:p w14:paraId="29228C01" w14:textId="77777777" w:rsidR="003D7184" w:rsidRPr="00A532E2" w:rsidRDefault="003D7184" w:rsidP="004C1B68">
      <w:pPr>
        <w:spacing w:after="0" w:line="276" w:lineRule="auto"/>
        <w:jc w:val="both"/>
        <w:rPr>
          <w:rFonts w:ascii="Palatino Linotype" w:eastAsia="Times New Roman" w:hAnsi="Palatino Linotype" w:cs="Times New Roman"/>
          <w:lang w:eastAsia="pl-PL"/>
        </w:rPr>
      </w:pPr>
      <w:r w:rsidRPr="00A532E2">
        <w:rPr>
          <w:rFonts w:ascii="Palatino Linotype" w:eastAsia="Times New Roman" w:hAnsi="Palatino Linotype" w:cs="Times New Roman"/>
          <w:lang w:eastAsia="pl-PL"/>
        </w:rPr>
        <w:lastRenderedPageBreak/>
        <w:t xml:space="preserve">4. Do pisma wniesionego w sposób określony w ust. 1 i 2 nie dołącza się załączników w postaci papierowej, a tylko odwzorowania cyfrowe wszystkich załączników. W razie potrzeby sąd sporządza ich wydruki, z którymi postępuje tak, jak z załącznikami. W celu doręczania dokumentów stronom, które nie stosują środków komunikacji elektronicznej do odbioru pism, sąd sporządza kopie dokumentów elektronicznych w postaci uwierzytelnionych wydruków, z zachowaniem wymogów określonych w przepisach wydanych na podstawie </w:t>
      </w:r>
      <w:hyperlink r:id="rId4" w:history="1">
        <w:r w:rsidRPr="00A532E2">
          <w:rPr>
            <w:rFonts w:ascii="Palatino Linotype" w:eastAsia="Times New Roman" w:hAnsi="Palatino Linotype" w:cs="Times New Roman"/>
            <w:lang w:eastAsia="pl-PL"/>
          </w:rPr>
          <w:t>art. 16 ust. 3</w:t>
        </w:r>
      </w:hyperlink>
      <w:r w:rsidRPr="00A532E2">
        <w:rPr>
          <w:rFonts w:ascii="Palatino Linotype" w:eastAsia="Times New Roman" w:hAnsi="Palatino Linotype" w:cs="Times New Roman"/>
          <w:lang w:eastAsia="pl-PL"/>
        </w:rPr>
        <w:t xml:space="preserve"> ustawy z dnia 17 lutego 2005 r. o informatyzacji działalności podmiotów realizujących zadania publiczne. Za wydruki pism i załączników wniesionych w formie dokumentu elektronicznego pobiera się opłatę kancelaryjną w wysokości 0,50 zł za każdą stronę wydruku czarno-białego w formacie 210 x 297 mm (A4) oraz 1 zł za każdą stronę wydruku kolorowego w formacie 210 x 297 mm (A4).</w:t>
      </w:r>
    </w:p>
    <w:p w14:paraId="2D61CCD8" w14:textId="77777777" w:rsidR="003D7184" w:rsidRPr="00A532E2" w:rsidRDefault="003D7184" w:rsidP="004C1B68">
      <w:pPr>
        <w:spacing w:after="0" w:line="276" w:lineRule="auto"/>
        <w:jc w:val="both"/>
        <w:rPr>
          <w:rFonts w:ascii="Palatino Linotype" w:eastAsia="Times New Roman" w:hAnsi="Palatino Linotype" w:cs="Times New Roman"/>
          <w:lang w:eastAsia="pl-PL"/>
        </w:rPr>
      </w:pPr>
      <w:r w:rsidRPr="00A532E2">
        <w:rPr>
          <w:rFonts w:ascii="Palatino Linotype" w:eastAsia="Times New Roman" w:hAnsi="Palatino Linotype" w:cs="Times New Roman"/>
          <w:lang w:eastAsia="pl-PL"/>
        </w:rPr>
        <w:t>5. Doręczanie pism pełnomocnikowi będącemu adwokatem, radcą prawnym lub rzecznikiem patentowym oraz organom administracji publicznej następuje przez elektroniczną skrzynkę podawczą, na adres poczty elektronicznej albo w siedzibie sądu, po uprzednim poinformowaniu o pozostawieniu przesyłki do odbioru w siedzibie sądu. W terminie 7 dni od wejścia w życie ustawy pełnomocnicy, o których mowa w zdaniu poprzedzającym wskażą sądom adresy elektronicznych skrzynek podawczych lub adresy poczty elektronicznej albo złożą oświadczenie o nieposiadaniu elektronicznych skrzynek nadawczych i adresów poczty elektronicznej.</w:t>
      </w:r>
    </w:p>
    <w:p w14:paraId="77DEEF0C" w14:textId="68AABCFA" w:rsidR="003626CE" w:rsidRPr="00A532E2" w:rsidRDefault="003D7184" w:rsidP="00A532E2">
      <w:pPr>
        <w:spacing w:after="0" w:line="276" w:lineRule="auto"/>
        <w:jc w:val="both"/>
        <w:rPr>
          <w:rFonts w:ascii="Palatino Linotype" w:eastAsia="Times New Roman" w:hAnsi="Palatino Linotype" w:cs="Times New Roman"/>
          <w:lang w:eastAsia="pl-PL"/>
        </w:rPr>
      </w:pPr>
      <w:r w:rsidRPr="00A532E2">
        <w:rPr>
          <w:rFonts w:ascii="Palatino Linotype" w:eastAsia="Times New Roman" w:hAnsi="Palatino Linotype" w:cs="Times New Roman"/>
          <w:lang w:eastAsia="pl-PL"/>
        </w:rPr>
        <w:t>6. Doręczanie pism stronom w postępowaniu gospodarczym prowadzonym na podstawie art. 458(</w:t>
      </w:r>
      <w:proofErr w:type="gramStart"/>
      <w:r w:rsidRPr="00A532E2">
        <w:rPr>
          <w:rFonts w:ascii="Palatino Linotype" w:eastAsia="Times New Roman" w:hAnsi="Palatino Linotype" w:cs="Times New Roman"/>
          <w:lang w:eastAsia="pl-PL"/>
        </w:rPr>
        <w:t>1)-</w:t>
      </w:r>
      <w:proofErr w:type="gramEnd"/>
      <w:r w:rsidRPr="00A532E2">
        <w:rPr>
          <w:rFonts w:ascii="Palatino Linotype" w:eastAsia="Times New Roman" w:hAnsi="Palatino Linotype" w:cs="Times New Roman"/>
          <w:lang w:eastAsia="pl-PL"/>
        </w:rPr>
        <w:t>458(13) Kodeksu postępowania cywilnego w przypadku podania adresów poczty elektronicznej, o których mowa w art. 458(3) Kodeksu postępowania cywilnego następuje na te adresy.”.</w:t>
      </w:r>
      <w:bookmarkStart w:id="0" w:name="_GoBack"/>
      <w:bookmarkEnd w:id="0"/>
    </w:p>
    <w:sectPr w:rsidR="003626CE" w:rsidRPr="00A532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9A"/>
    <w:rsid w:val="001E04EF"/>
    <w:rsid w:val="003626CE"/>
    <w:rsid w:val="003D7184"/>
    <w:rsid w:val="004C1B68"/>
    <w:rsid w:val="009D25C1"/>
    <w:rsid w:val="00A532E2"/>
    <w:rsid w:val="00FA37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F6D7A"/>
  <w15:chartTrackingRefBased/>
  <w15:docId w15:val="{9A6902F4-914E-46E6-B5B9-437A27BD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D71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04826">
      <w:bodyDiv w:val="1"/>
      <w:marLeft w:val="0"/>
      <w:marRight w:val="0"/>
      <w:marTop w:val="0"/>
      <w:marBottom w:val="0"/>
      <w:divBdr>
        <w:top w:val="none" w:sz="0" w:space="0" w:color="auto"/>
        <w:left w:val="none" w:sz="0" w:space="0" w:color="auto"/>
        <w:bottom w:val="none" w:sz="0" w:space="0" w:color="auto"/>
        <w:right w:val="none" w:sz="0" w:space="0" w:color="auto"/>
      </w:divBdr>
      <w:divsChild>
        <w:div w:id="1833985096">
          <w:marLeft w:val="0"/>
          <w:marRight w:val="0"/>
          <w:marTop w:val="0"/>
          <w:marBottom w:val="0"/>
          <w:divBdr>
            <w:top w:val="none" w:sz="0" w:space="0" w:color="auto"/>
            <w:left w:val="none" w:sz="0" w:space="0" w:color="auto"/>
            <w:bottom w:val="none" w:sz="0" w:space="0" w:color="auto"/>
            <w:right w:val="none" w:sz="0" w:space="0" w:color="auto"/>
          </w:divBdr>
        </w:div>
        <w:div w:id="843982032">
          <w:marLeft w:val="0"/>
          <w:marRight w:val="0"/>
          <w:marTop w:val="0"/>
          <w:marBottom w:val="0"/>
          <w:divBdr>
            <w:top w:val="none" w:sz="0" w:space="0" w:color="auto"/>
            <w:left w:val="none" w:sz="0" w:space="0" w:color="auto"/>
            <w:bottom w:val="none" w:sz="0" w:space="0" w:color="auto"/>
            <w:right w:val="none" w:sz="0" w:space="0" w:color="auto"/>
          </w:divBdr>
        </w:div>
        <w:div w:id="1078018923">
          <w:marLeft w:val="0"/>
          <w:marRight w:val="0"/>
          <w:marTop w:val="0"/>
          <w:marBottom w:val="0"/>
          <w:divBdr>
            <w:top w:val="none" w:sz="0" w:space="0" w:color="auto"/>
            <w:left w:val="none" w:sz="0" w:space="0" w:color="auto"/>
            <w:bottom w:val="none" w:sz="0" w:space="0" w:color="auto"/>
            <w:right w:val="none" w:sz="0" w:space="0" w:color="auto"/>
          </w:divBdr>
        </w:div>
      </w:divsChild>
    </w:div>
    <w:div w:id="2043745809">
      <w:bodyDiv w:val="1"/>
      <w:marLeft w:val="0"/>
      <w:marRight w:val="0"/>
      <w:marTop w:val="0"/>
      <w:marBottom w:val="0"/>
      <w:divBdr>
        <w:top w:val="none" w:sz="0" w:space="0" w:color="auto"/>
        <w:left w:val="none" w:sz="0" w:space="0" w:color="auto"/>
        <w:bottom w:val="none" w:sz="0" w:space="0" w:color="auto"/>
        <w:right w:val="none" w:sz="0" w:space="0" w:color="auto"/>
      </w:divBdr>
      <w:divsChild>
        <w:div w:id="535655156">
          <w:marLeft w:val="0"/>
          <w:marRight w:val="0"/>
          <w:marTop w:val="0"/>
          <w:marBottom w:val="0"/>
          <w:divBdr>
            <w:top w:val="none" w:sz="0" w:space="0" w:color="auto"/>
            <w:left w:val="none" w:sz="0" w:space="0" w:color="auto"/>
            <w:bottom w:val="none" w:sz="0" w:space="0" w:color="auto"/>
            <w:right w:val="none" w:sz="0" w:space="0" w:color="auto"/>
          </w:divBdr>
        </w:div>
        <w:div w:id="330914727">
          <w:marLeft w:val="0"/>
          <w:marRight w:val="0"/>
          <w:marTop w:val="0"/>
          <w:marBottom w:val="0"/>
          <w:divBdr>
            <w:top w:val="none" w:sz="0" w:space="0" w:color="auto"/>
            <w:left w:val="none" w:sz="0" w:space="0" w:color="auto"/>
            <w:bottom w:val="none" w:sz="0" w:space="0" w:color="auto"/>
            <w:right w:val="none" w:sz="0" w:space="0" w:color="auto"/>
          </w:divBdr>
        </w:div>
        <w:div w:id="1175996174">
          <w:marLeft w:val="0"/>
          <w:marRight w:val="0"/>
          <w:marTop w:val="0"/>
          <w:marBottom w:val="0"/>
          <w:divBdr>
            <w:top w:val="none" w:sz="0" w:space="0" w:color="auto"/>
            <w:left w:val="none" w:sz="0" w:space="0" w:color="auto"/>
            <w:bottom w:val="none" w:sz="0" w:space="0" w:color="auto"/>
            <w:right w:val="none" w:sz="0" w:space="0" w:color="auto"/>
          </w:divBdr>
        </w:div>
        <w:div w:id="2077588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p.legalis.pl/document-view.seam?documentId=mfrxilrtg4ytgnjxgm4taltqmfyc4nbyguzdsnjsg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3917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HP</cp:lastModifiedBy>
  <cp:revision>2</cp:revision>
  <cp:lastPrinted>2020-03-23T17:42:00Z</cp:lastPrinted>
  <dcterms:created xsi:type="dcterms:W3CDTF">2020-03-23T17:43:00Z</dcterms:created>
  <dcterms:modified xsi:type="dcterms:W3CDTF">2020-03-23T17:43:00Z</dcterms:modified>
</cp:coreProperties>
</file>